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B543" w14:textId="77777777" w:rsidR="002E104E" w:rsidRPr="002D61B7" w:rsidRDefault="004236D1" w:rsidP="002E104E">
      <w:pPr>
        <w:spacing w:after="0" w:line="276" w:lineRule="auto"/>
        <w:jc w:val="center"/>
        <w:rPr>
          <w:rFonts w:ascii="Montserrat" w:eastAsia="Times New Roman" w:hAnsi="Montserrat" w:cs="Arial"/>
          <w:b/>
          <w:bCs/>
          <w:sz w:val="21"/>
          <w:szCs w:val="21"/>
          <w:lang w:eastAsia="x-none"/>
        </w:rPr>
      </w:pPr>
      <w:r w:rsidRPr="004236D1">
        <w:rPr>
          <w:rFonts w:ascii="Open Sans" w:eastAsia="Times New Roman" w:hAnsi="Open Sans" w:cs="Times New Roman"/>
          <w:color w:val="7B7C7E"/>
          <w:sz w:val="27"/>
          <w:szCs w:val="27"/>
          <w:lang w:eastAsia="it-IT"/>
        </w:rPr>
        <w:t> </w:t>
      </w:r>
      <w:r w:rsidR="002E104E" w:rsidRPr="002D61B7">
        <w:rPr>
          <w:rFonts w:ascii="Montserrat" w:eastAsia="Times New Roman" w:hAnsi="Montserrat" w:cs="Arial"/>
          <w:b/>
          <w:bCs/>
          <w:sz w:val="21"/>
          <w:szCs w:val="21"/>
          <w:lang w:eastAsia="x-none"/>
        </w:rPr>
        <w:t>I coefficienti di trasformazione del montante contributivo accumulato (2021-2022)</w:t>
      </w:r>
    </w:p>
    <w:tbl>
      <w:tblPr>
        <w:tblW w:w="4943" w:type="pct"/>
        <w:jc w:val="center"/>
        <w:tblBorders>
          <w:top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2E104E" w:rsidRPr="002D61B7" w14:paraId="57F59B8A" w14:textId="77777777" w:rsidTr="002E104E">
        <w:trPr>
          <w:tblHeader/>
          <w:jc w:val="center"/>
        </w:trPr>
        <w:tc>
          <w:tcPr>
            <w:tcW w:w="5000" w:type="pct"/>
            <w:gridSpan w:val="13"/>
            <w:tcBorders>
              <w:left w:val="single" w:sz="6" w:space="0" w:color="000000"/>
              <w:bottom w:val="single" w:sz="6" w:space="0" w:color="000000"/>
            </w:tcBorders>
            <w:shd w:val="clear" w:color="auto" w:fill="33C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73FC1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color w:val="FFFFFF"/>
                <w:sz w:val="21"/>
                <w:szCs w:val="21"/>
                <w:lang w:eastAsia="x-none"/>
              </w:rPr>
              <w:t>Età alla decorrenza della pensione</w:t>
            </w:r>
          </w:p>
        </w:tc>
      </w:tr>
      <w:tr w:rsidR="002E104E" w:rsidRPr="002D61B7" w14:paraId="1CE6D2EE" w14:textId="77777777" w:rsidTr="002E104E">
        <w:trPr>
          <w:tblHeader/>
          <w:jc w:val="center"/>
        </w:trPr>
        <w:tc>
          <w:tcPr>
            <w:tcW w:w="276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CE177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</w:p>
          <w:p w14:paraId="7A424E05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Anni</w:t>
            </w:r>
          </w:p>
        </w:tc>
        <w:tc>
          <w:tcPr>
            <w:tcW w:w="4724" w:type="pct"/>
            <w:gridSpan w:val="12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81412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Mesi</w:t>
            </w:r>
          </w:p>
        </w:tc>
      </w:tr>
      <w:tr w:rsidR="002E104E" w:rsidRPr="002D61B7" w14:paraId="6F848A0E" w14:textId="77777777" w:rsidTr="002E104E">
        <w:trPr>
          <w:tblHeader/>
          <w:jc w:val="center"/>
        </w:trPr>
        <w:tc>
          <w:tcPr>
            <w:tcW w:w="276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vAlign w:val="center"/>
            <w:hideMark/>
          </w:tcPr>
          <w:p w14:paraId="5E36A683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ED650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0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0BC63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1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80F96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2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ABD72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3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26A9F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4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1360C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5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338F5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CFD9A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7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9B451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8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76A2E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9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14FFC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10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65841" w14:textId="77777777" w:rsidR="002E104E" w:rsidRPr="002D61B7" w:rsidRDefault="002E104E" w:rsidP="00D817BC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11</w:t>
            </w:r>
          </w:p>
        </w:tc>
      </w:tr>
      <w:tr w:rsidR="002E104E" w:rsidRPr="002D61B7" w14:paraId="3EA96F99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1302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57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00AF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4,186%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1DA0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4,194%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5599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4,202%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BC28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4,210%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2EE3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4,218%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8A14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4,229%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FBB3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4,237%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F17E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4,246%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56009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4,254%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0A54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4,263%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240A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4,271%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7440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4,280%</w:t>
            </w:r>
          </w:p>
        </w:tc>
      </w:tr>
      <w:tr w:rsidR="002E104E" w:rsidRPr="002D61B7" w14:paraId="7F40B058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B1D1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58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8EE4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4,289%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8EBB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4,297%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8670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4,306%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49E2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4,314%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4239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4,323%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7625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4,331%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4FD8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4,340%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DD31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4,349%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71C8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4,357%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E295B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4,366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45586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4,374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C76A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4,383</w:t>
            </w:r>
          </w:p>
        </w:tc>
      </w:tr>
      <w:tr w:rsidR="002E104E" w:rsidRPr="002D61B7" w14:paraId="51684851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A0B5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59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1EDA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4,399%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182DC4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4,408%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A06DD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4,417%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3202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4,426%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48D5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4,435%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5BE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4,444%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79F8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4,454%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FE14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4,463%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11A9B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4,472%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69BA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4,481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E2C8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4,490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E651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4,499</w:t>
            </w:r>
          </w:p>
        </w:tc>
      </w:tr>
      <w:tr w:rsidR="002E104E" w:rsidRPr="002D61B7" w14:paraId="41DDFF48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B310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60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4BF1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4,515%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2F41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4,524%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B45C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4,534%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02C2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4,544%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A6D4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4,553%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EC43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4,563%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A24C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4,573%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1EC5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4,582%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49DB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4,592%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38D0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4,602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763E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4,611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0342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4,621</w:t>
            </w:r>
          </w:p>
        </w:tc>
      </w:tr>
      <w:tr w:rsidR="002E104E" w:rsidRPr="002D61B7" w14:paraId="4D04FAED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746B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61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FF6D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4,639%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CE6A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4,649%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A558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4,659%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F543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4,670%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D87D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4,671%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1D544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4,690%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4F837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4,701%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27C1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4,711%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E4EF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4,721%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791A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4,732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B715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4,742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7B69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4,752</w:t>
            </w:r>
          </w:p>
        </w:tc>
      </w:tr>
      <w:tr w:rsidR="002E104E" w:rsidRPr="002D61B7" w14:paraId="63C95F41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B2CF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62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7E10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4,770%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0D4A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4,780%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C232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4,791%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E5AE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4,802%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1220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4,813%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2906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4,824%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9913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4,835%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D4926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4,846%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0F50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4,857%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3BF5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4,868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04B3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4,879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34CE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4,890</w:t>
            </w:r>
          </w:p>
        </w:tc>
      </w:tr>
      <w:tr w:rsidR="002E104E" w:rsidRPr="002D61B7" w14:paraId="4F2B9738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822B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63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37D79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4,910%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675E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4,921%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6D62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4,933%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31DF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4,945%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2707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4,956%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19DC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4,968%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E4304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4,980%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DCFF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4,991%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0E71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5,003%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E3074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5,015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5968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5,026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D72D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5,038</w:t>
            </w:r>
          </w:p>
        </w:tc>
      </w:tr>
      <w:tr w:rsidR="002E104E" w:rsidRPr="002D61B7" w14:paraId="471F7C24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5158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64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7181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4,910%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3C12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4,921%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5179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4,933%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68DF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4,945%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1FB1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4,956%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AE64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4,968%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0A60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4,980%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E46E4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4,991%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2657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5,003%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BF28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5,015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5078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5,026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EACF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5,038</w:t>
            </w:r>
          </w:p>
        </w:tc>
      </w:tr>
      <w:tr w:rsidR="002E104E" w:rsidRPr="002D61B7" w14:paraId="43EB77CF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A523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65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FBE8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5,060%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1BFDC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5,072%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3ADDB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5,085%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1A05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5,097%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13E7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5,11%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7182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5,122%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75D3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5,135%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03C9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5,147%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1EB8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5,160%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5CFD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5,172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2781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5,185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5EB2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5,197</w:t>
            </w:r>
          </w:p>
        </w:tc>
      </w:tr>
      <w:tr w:rsidR="002E104E" w:rsidRPr="002D61B7" w14:paraId="38787F3A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019F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66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0E36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5,220%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1F6D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5,233%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73D9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5,246%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2BF7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5,26%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9258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5,273%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0B2E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5,286%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B6CF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5,300%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FB93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5,313%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212E0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5,326%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F7B1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5,340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2E6B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5,353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9088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5,366</w:t>
            </w:r>
          </w:p>
        </w:tc>
      </w:tr>
      <w:tr w:rsidR="002E104E" w:rsidRPr="002D61B7" w14:paraId="0C10C65D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5B4A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67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049A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5,391%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7757F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5,405%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6F26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5,419%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3E386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5,433%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793B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5,448%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B102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5,462%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7784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5,476%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DA93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5,490%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D154A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5,505%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99B4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5,519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6E25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5,533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6CF0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5,547</w:t>
            </w:r>
          </w:p>
        </w:tc>
      </w:tr>
      <w:tr w:rsidR="002E104E" w:rsidRPr="002D61B7" w14:paraId="4A0895A2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6A590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68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A85F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5,575%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229E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5,590%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F30BB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5,605%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D50A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5,621%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CAF0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5,636%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4540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5,651%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83CE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5,660%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531C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5,682%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35A44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5,697%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A946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5,713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B377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5,728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C7F9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5,743</w:t>
            </w:r>
          </w:p>
        </w:tc>
      </w:tr>
      <w:tr w:rsidR="002E104E" w:rsidRPr="002D61B7" w14:paraId="5B4D15CA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13B66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69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07FD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5,772%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50F0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5,788%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E7B07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5,805%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27C35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5,822%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63CDB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5,839%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D8358E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5,856%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B7263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5,873%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005B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5,889%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8682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5,906%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10AEB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5,923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CB64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5,940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9CAFD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5,957</w:t>
            </w:r>
          </w:p>
        </w:tc>
      </w:tr>
      <w:tr w:rsidR="002E104E" w:rsidRPr="002D61B7" w14:paraId="0B22D2B0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9C3F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70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FD5E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6,215%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E3D2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6,234%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D2ED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6,253%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B3CAF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6,272%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3D71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6,291%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FA58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6,310%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E4F5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6,33%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95820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6,349%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A622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6,368%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4EFB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6,387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D7FD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6,406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D7F8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6,425</w:t>
            </w:r>
          </w:p>
        </w:tc>
      </w:tr>
      <w:tr w:rsidR="002E104E" w:rsidRPr="002D61B7" w14:paraId="4A122E36" w14:textId="77777777" w:rsidTr="002E104E">
        <w:trPr>
          <w:jc w:val="center"/>
        </w:trPr>
        <w:tc>
          <w:tcPr>
            <w:tcW w:w="276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9BBB5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95FA9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Times New Roman" w:hAnsi="Montserrat" w:cs="Arial"/>
                <w:b/>
                <w:bCs/>
                <w:sz w:val="21"/>
                <w:szCs w:val="21"/>
                <w:lang w:eastAsia="x-none"/>
              </w:rPr>
              <w:t>Da 71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D7B94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6,466%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C8FD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color w:val="333333"/>
                <w:sz w:val="21"/>
                <w:szCs w:val="21"/>
              </w:rPr>
              <w:t>6,486%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644C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6,507%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87574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6,528%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EDF1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6,549%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0A02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6,570%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D30F2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6,591%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B648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6,612%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CFDEA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6,633%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5D68C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6,654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478D8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6,675</w:t>
            </w:r>
          </w:p>
        </w:tc>
        <w:tc>
          <w:tcPr>
            <w:tcW w:w="394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CFB51" w14:textId="77777777" w:rsidR="002E104E" w:rsidRPr="002D61B7" w:rsidRDefault="002E104E" w:rsidP="00D817BC">
            <w:pPr>
              <w:spacing w:after="0" w:line="276" w:lineRule="auto"/>
              <w:jc w:val="both"/>
              <w:rPr>
                <w:rFonts w:ascii="Montserrat" w:eastAsia="Times New Roman" w:hAnsi="Montserrat" w:cs="Arial"/>
                <w:bCs/>
                <w:sz w:val="21"/>
                <w:szCs w:val="21"/>
                <w:lang w:eastAsia="x-none"/>
              </w:rPr>
            </w:pPr>
            <w:r w:rsidRPr="002D61B7">
              <w:rPr>
                <w:rFonts w:ascii="Montserrat" w:eastAsia="Calibri" w:hAnsi="Montserrat" w:cs="Calibri"/>
                <w:sz w:val="21"/>
                <w:szCs w:val="21"/>
              </w:rPr>
              <w:t>6,696</w:t>
            </w:r>
          </w:p>
        </w:tc>
      </w:tr>
    </w:tbl>
    <w:p w14:paraId="7042DDA5" w14:textId="1798F10E" w:rsidR="004236D1" w:rsidRDefault="004236D1" w:rsidP="004236D1">
      <w:pPr>
        <w:shd w:val="clear" w:color="auto" w:fill="FFFFFF"/>
        <w:spacing w:before="150" w:after="0" w:line="360" w:lineRule="atLeast"/>
        <w:jc w:val="both"/>
        <w:rPr>
          <w:rFonts w:ascii="Open Sans" w:eastAsia="Times New Roman" w:hAnsi="Open Sans" w:cs="Times New Roman"/>
          <w:color w:val="7B7C7E"/>
          <w:sz w:val="27"/>
          <w:szCs w:val="27"/>
          <w:lang w:eastAsia="it-IT"/>
        </w:rPr>
      </w:pPr>
      <w:bookmarkStart w:id="0" w:name="_GoBack"/>
      <w:bookmarkEnd w:id="0"/>
    </w:p>
    <w:sectPr w:rsidR="0042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29"/>
    <w:rsid w:val="000F593A"/>
    <w:rsid w:val="001B1F47"/>
    <w:rsid w:val="00235EB1"/>
    <w:rsid w:val="0027426F"/>
    <w:rsid w:val="00275313"/>
    <w:rsid w:val="002E104E"/>
    <w:rsid w:val="002F690E"/>
    <w:rsid w:val="00311EDF"/>
    <w:rsid w:val="004236D1"/>
    <w:rsid w:val="004B2BB0"/>
    <w:rsid w:val="004D6B42"/>
    <w:rsid w:val="00527929"/>
    <w:rsid w:val="0065567A"/>
    <w:rsid w:val="00A0767E"/>
    <w:rsid w:val="00A86BDF"/>
    <w:rsid w:val="00D332C6"/>
    <w:rsid w:val="00E734E2"/>
    <w:rsid w:val="00E80217"/>
    <w:rsid w:val="00FA0B54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B383"/>
  <w15:chartTrackingRefBased/>
  <w15:docId w15:val="{5AA52E5E-E038-4697-ACEA-A1E9A4FA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3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3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86B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L’ASSEGNO SOCIALE, LE CONDIZIONI PER IL 2021</vt:lpstr>
      <vt:lpstr>PENSIONE ANTICIPATA basta cambiare l’anno da 2020 a 2021</vt:lpstr>
      <vt:lpstr/>
      <vt:lpstr/>
      <vt:lpstr/>
      <vt:lpstr>NTEGRAZIONE AL MINIMO, LE CONDIZIONI PER IL 2021</vt:lpstr>
      <vt:lpstr>IL COEFFICIENTE DI CONVERSIONE</vt:lpstr>
      <vt:lpstr>COME FUNZIONA L’OPZIONE DONNA</vt:lpstr>
      <vt:lpstr>Continua a essere applicata la finestra mobile di 12 mesi per le dipendenti e di</vt:lpstr>
      <vt:lpstr/>
      <vt:lpstr>A CHI SPETTA LA PENSIONE AI SUPERSTITI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13</cp:revision>
  <dcterms:created xsi:type="dcterms:W3CDTF">2021-01-21T09:51:00Z</dcterms:created>
  <dcterms:modified xsi:type="dcterms:W3CDTF">2021-01-25T15:07:00Z</dcterms:modified>
</cp:coreProperties>
</file>