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4DCB6" w14:textId="6C3A590C" w:rsidR="00861712" w:rsidRPr="00A55E30" w:rsidRDefault="00861712" w:rsidP="009608C1">
      <w:pPr>
        <w:spacing w:after="450" w:line="480" w:lineRule="auto"/>
        <w:ind w:right="991"/>
        <w:jc w:val="both"/>
        <w:rPr>
          <w:rFonts w:ascii="Times New Roman" w:eastAsia="Times New Roman" w:hAnsi="Times New Roman" w:cs="Times New Roman"/>
          <w:b/>
          <w:color w:val="0F0F0F"/>
          <w:lang w:eastAsia="it-IT"/>
        </w:rPr>
      </w:pPr>
      <w:r w:rsidRPr="00A55E30">
        <w:rPr>
          <w:rFonts w:ascii="Times New Roman" w:eastAsia="Times New Roman" w:hAnsi="Times New Roman" w:cs="Times New Roman"/>
          <w:b/>
          <w:color w:val="0F0F0F"/>
          <w:lang w:eastAsia="it-IT"/>
        </w:rPr>
        <w:t>Un</w:t>
      </w:r>
      <w:r w:rsidR="007F4DF2">
        <w:rPr>
          <w:rFonts w:ascii="Times New Roman" w:eastAsia="Times New Roman" w:hAnsi="Times New Roman" w:cs="Times New Roman"/>
          <w:b/>
          <w:color w:val="0F0F0F"/>
          <w:lang w:eastAsia="it-IT"/>
        </w:rPr>
        <w:t>a</w:t>
      </w:r>
      <w:r w:rsidRPr="00A55E30">
        <w:rPr>
          <w:rFonts w:ascii="Times New Roman" w:eastAsia="Times New Roman" w:hAnsi="Times New Roman" w:cs="Times New Roman"/>
          <w:b/>
          <w:color w:val="0F0F0F"/>
          <w:lang w:eastAsia="it-IT"/>
        </w:rPr>
        <w:t xml:space="preserve"> riforma continua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861712" w:rsidRPr="00A55E30" w14:paraId="489AA41D" w14:textId="77777777" w:rsidTr="00DB3D05">
        <w:trPr>
          <w:trHeight w:val="151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2D86" w14:textId="77777777" w:rsidR="00861712" w:rsidRPr="00A55E30" w:rsidRDefault="00861712" w:rsidP="009608C1">
            <w:pPr>
              <w:spacing w:after="450" w:line="480" w:lineRule="auto"/>
              <w:ind w:right="991"/>
              <w:jc w:val="both"/>
              <w:rPr>
                <w:rFonts w:ascii="Times New Roman" w:eastAsia="Times New Roman" w:hAnsi="Times New Roman" w:cs="Times New Roman"/>
                <w:b/>
                <w:i/>
                <w:color w:val="0F0F0F"/>
                <w:lang w:eastAsia="it-IT"/>
              </w:rPr>
            </w:pPr>
          </w:p>
          <w:p w14:paraId="27934DD1" w14:textId="77777777" w:rsidR="00861712" w:rsidRPr="00A55E30" w:rsidRDefault="00861712" w:rsidP="009608C1">
            <w:pPr>
              <w:spacing w:after="450" w:line="480" w:lineRule="auto"/>
              <w:ind w:right="991"/>
              <w:jc w:val="both"/>
              <w:rPr>
                <w:rFonts w:ascii="Times New Roman" w:eastAsia="Times New Roman" w:hAnsi="Times New Roman" w:cs="Times New Roman"/>
                <w:b/>
                <w:i/>
                <w:color w:val="0F0F0F"/>
                <w:lang w:eastAsia="it-IT"/>
              </w:rPr>
            </w:pPr>
            <w:r w:rsidRPr="00A55E30">
              <w:rPr>
                <w:rFonts w:ascii="Times New Roman" w:eastAsia="Times New Roman" w:hAnsi="Times New Roman" w:cs="Times New Roman"/>
                <w:b/>
                <w:i/>
                <w:color w:val="0F0F0F"/>
                <w:lang w:eastAsia="it-IT"/>
              </w:rPr>
              <w:t>Età di vecchiaia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0020" w14:textId="77777777" w:rsidR="00861712" w:rsidRPr="00A55E30" w:rsidRDefault="00861712" w:rsidP="009608C1">
            <w:pPr>
              <w:spacing w:after="450" w:line="480" w:lineRule="auto"/>
              <w:ind w:right="991"/>
              <w:jc w:val="both"/>
              <w:rPr>
                <w:rFonts w:ascii="Times New Roman" w:eastAsia="Times New Roman" w:hAnsi="Times New Roman" w:cs="Times New Roman"/>
                <w:color w:val="0F0F0F"/>
                <w:lang w:eastAsia="it-IT"/>
              </w:rPr>
            </w:pPr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t xml:space="preserve">L’età di </w:t>
            </w:r>
            <w:proofErr w:type="gramStart"/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t>67</w:t>
            </w:r>
            <w:proofErr w:type="gramEnd"/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t xml:space="preserve"> anni valida da quest’anno resterà tale fino alla fine del 2022. Il limite anagrafico è stato confermato con un </w:t>
            </w:r>
            <w:r w:rsidRPr="00A55E30">
              <w:rPr>
                <w:rFonts w:ascii="Times New Roman" w:eastAsia="Times New Roman" w:hAnsi="Times New Roman" w:cs="Times New Roman"/>
                <w:bCs/>
                <w:color w:val="0F0F0F"/>
                <w:lang w:eastAsia="it-IT"/>
              </w:rPr>
              <w:t>decreto ministeriale del 5 novembre (</w:t>
            </w:r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t>pubblicato sulla Gazzetta ufficiale del giorno 14) sulla base della speranza di vita accertata a consuntivo dall’Istat per l’intero biennio 2017-2018: una variazione risultata inferiore a un mese.  L’adeguamento</w:t>
            </w:r>
            <w:proofErr w:type="gramStart"/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t xml:space="preserve">  </w:t>
            </w:r>
            <w:proofErr w:type="gramEnd"/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t xml:space="preserve">varrà per il biennio 2021-2022. </w:t>
            </w:r>
            <w:r w:rsidRPr="00A55E30">
              <w:rPr>
                <w:rFonts w:ascii="Times New Roman" w:eastAsia="Times New Roman" w:hAnsi="Times New Roman" w:cs="Times New Roman"/>
                <w:bCs/>
                <w:color w:val="0F0F0F"/>
                <w:lang w:eastAsia="it-IT"/>
              </w:rPr>
              <w:t xml:space="preserve">Nel biennio 2023-2024 il requisito potrebbe aumentare di </w:t>
            </w:r>
            <w:proofErr w:type="gramStart"/>
            <w:r w:rsidRPr="00A55E30">
              <w:rPr>
                <w:rFonts w:ascii="Times New Roman" w:eastAsia="Times New Roman" w:hAnsi="Times New Roman" w:cs="Times New Roman"/>
                <w:bCs/>
                <w:color w:val="0F0F0F"/>
                <w:lang w:eastAsia="it-IT"/>
              </w:rPr>
              <w:t>3</w:t>
            </w:r>
            <w:proofErr w:type="gramEnd"/>
            <w:r w:rsidRPr="00A55E30">
              <w:rPr>
                <w:rFonts w:ascii="Times New Roman" w:eastAsia="Times New Roman" w:hAnsi="Times New Roman" w:cs="Times New Roman"/>
                <w:bCs/>
                <w:color w:val="0F0F0F"/>
                <w:lang w:eastAsia="it-IT"/>
              </w:rPr>
              <w:t xml:space="preserve"> mesi</w:t>
            </w:r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t>, stando ai requisiti stimati a titolo esemplificativo dalla Ragioneria generale dello Stato nel Rapporto sulla spesa pensionistica pubblicato lo scorso settembre.</w:t>
            </w:r>
          </w:p>
        </w:tc>
      </w:tr>
      <w:tr w:rsidR="00861712" w:rsidRPr="00A55E30" w14:paraId="3A3C0114" w14:textId="77777777" w:rsidTr="00DB3D0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DA3A" w14:textId="77777777" w:rsidR="00861712" w:rsidRPr="00A55E30" w:rsidRDefault="00861712" w:rsidP="009608C1">
            <w:pPr>
              <w:spacing w:after="450" w:line="480" w:lineRule="auto"/>
              <w:ind w:right="991"/>
              <w:jc w:val="both"/>
              <w:rPr>
                <w:rFonts w:ascii="Times New Roman" w:eastAsia="Times New Roman" w:hAnsi="Times New Roman" w:cs="Times New Roman"/>
                <w:b/>
                <w:i/>
                <w:color w:val="0F0F0F"/>
                <w:lang w:eastAsia="it-IT"/>
              </w:rPr>
            </w:pPr>
          </w:p>
          <w:p w14:paraId="093EE047" w14:textId="77777777" w:rsidR="00861712" w:rsidRPr="00A55E30" w:rsidRDefault="00861712" w:rsidP="009608C1">
            <w:pPr>
              <w:spacing w:after="450" w:line="480" w:lineRule="auto"/>
              <w:ind w:right="991"/>
              <w:jc w:val="both"/>
              <w:rPr>
                <w:rFonts w:ascii="Times New Roman" w:eastAsia="Times New Roman" w:hAnsi="Times New Roman" w:cs="Times New Roman"/>
                <w:b/>
                <w:i/>
                <w:color w:val="0F0F0F"/>
                <w:lang w:eastAsia="it-IT"/>
              </w:rPr>
            </w:pPr>
            <w:proofErr w:type="gramStart"/>
            <w:r w:rsidRPr="00A55E30">
              <w:rPr>
                <w:rFonts w:ascii="Times New Roman" w:eastAsia="Times New Roman" w:hAnsi="Times New Roman" w:cs="Times New Roman"/>
                <w:b/>
                <w:i/>
                <w:color w:val="0F0F0F"/>
                <w:lang w:eastAsia="it-IT"/>
              </w:rPr>
              <w:t>Opzione</w:t>
            </w:r>
            <w:proofErr w:type="gramEnd"/>
            <w:r w:rsidRPr="00A55E30">
              <w:rPr>
                <w:rFonts w:ascii="Times New Roman" w:eastAsia="Times New Roman" w:hAnsi="Times New Roman" w:cs="Times New Roman"/>
                <w:b/>
                <w:i/>
                <w:color w:val="0F0F0F"/>
                <w:lang w:eastAsia="it-IT"/>
              </w:rPr>
              <w:t xml:space="preserve"> donna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CB59" w14:textId="77777777" w:rsidR="00861712" w:rsidRPr="00A55E30" w:rsidRDefault="00861712" w:rsidP="009608C1">
            <w:pPr>
              <w:spacing w:after="450" w:line="480" w:lineRule="auto"/>
              <w:ind w:right="991"/>
              <w:jc w:val="both"/>
              <w:rPr>
                <w:rFonts w:ascii="Times New Roman" w:eastAsia="Times New Roman" w:hAnsi="Times New Roman" w:cs="Times New Roman"/>
                <w:color w:val="0F0F0F"/>
                <w:lang w:eastAsia="it-IT"/>
              </w:rPr>
            </w:pPr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t>Proroga per un anno dell’</w:t>
            </w:r>
            <w:proofErr w:type="gramStart"/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t>opzione</w:t>
            </w:r>
            <w:proofErr w:type="gramEnd"/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t xml:space="preserve"> donna. L’uscita anticipata sarà consentita alle donne dipendenti con almeno </w:t>
            </w:r>
            <w:proofErr w:type="gramStart"/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t>59</w:t>
            </w:r>
            <w:proofErr w:type="gramEnd"/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t xml:space="preserve"> anni e quelle autonome con almeno 60, purché abbiano almeno 35 anni di contributi ed optino per il meno vantaggioso calcolo “contributivo”. Continua </w:t>
            </w:r>
            <w:proofErr w:type="gramStart"/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t>ad</w:t>
            </w:r>
            <w:proofErr w:type="gramEnd"/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t xml:space="preserve"> essere applicata una finestra mobile di 12 mesi per le dipendenti e di 18 mesi per le autonome. </w:t>
            </w:r>
          </w:p>
        </w:tc>
      </w:tr>
      <w:tr w:rsidR="00861712" w:rsidRPr="00A55E30" w14:paraId="142656D0" w14:textId="77777777" w:rsidTr="00DB3D0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3DC0" w14:textId="77777777" w:rsidR="00861712" w:rsidRPr="00A55E30" w:rsidRDefault="00861712" w:rsidP="009608C1">
            <w:pPr>
              <w:spacing w:after="450" w:line="480" w:lineRule="auto"/>
              <w:ind w:right="991"/>
              <w:jc w:val="both"/>
              <w:rPr>
                <w:rFonts w:ascii="Times New Roman" w:eastAsia="Times New Roman" w:hAnsi="Times New Roman" w:cs="Times New Roman"/>
                <w:b/>
                <w:i/>
                <w:color w:val="0F0F0F"/>
                <w:lang w:eastAsia="it-IT"/>
              </w:rPr>
            </w:pPr>
          </w:p>
          <w:p w14:paraId="1007AE4B" w14:textId="77777777" w:rsidR="00861712" w:rsidRPr="00A55E30" w:rsidRDefault="00861712" w:rsidP="009608C1">
            <w:pPr>
              <w:spacing w:after="450" w:line="480" w:lineRule="auto"/>
              <w:ind w:right="991"/>
              <w:jc w:val="both"/>
              <w:rPr>
                <w:rFonts w:ascii="Times New Roman" w:eastAsia="Times New Roman" w:hAnsi="Times New Roman" w:cs="Times New Roman"/>
                <w:b/>
                <w:i/>
                <w:color w:val="0F0F0F"/>
                <w:lang w:eastAsia="it-IT"/>
              </w:rPr>
            </w:pPr>
            <w:r w:rsidRPr="00A55E30">
              <w:rPr>
                <w:rFonts w:ascii="Times New Roman" w:eastAsia="Times New Roman" w:hAnsi="Times New Roman" w:cs="Times New Roman"/>
                <w:b/>
                <w:i/>
                <w:color w:val="0F0F0F"/>
                <w:lang w:eastAsia="it-IT"/>
              </w:rPr>
              <w:t>Ape sociale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27ED" w14:textId="77777777" w:rsidR="00861712" w:rsidRPr="00A55E30" w:rsidRDefault="00861712" w:rsidP="009608C1">
            <w:pPr>
              <w:spacing w:after="450" w:line="480" w:lineRule="auto"/>
              <w:ind w:right="991"/>
              <w:jc w:val="both"/>
              <w:rPr>
                <w:rFonts w:ascii="Times New Roman" w:eastAsia="Times New Roman" w:hAnsi="Times New Roman" w:cs="Times New Roman"/>
                <w:color w:val="0F0F0F"/>
                <w:lang w:eastAsia="it-IT"/>
              </w:rPr>
            </w:pPr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t xml:space="preserve">Prorogata di un anno l’Ape sociale, che scade il 31 dicembre 2019. La </w:t>
            </w:r>
            <w:proofErr w:type="spellStart"/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t>pre</w:t>
            </w:r>
            <w:proofErr w:type="spellEnd"/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t xml:space="preserve">-pensione </w:t>
            </w:r>
            <w:proofErr w:type="gramStart"/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t>assistenziale</w:t>
            </w:r>
            <w:proofErr w:type="gramEnd"/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t xml:space="preserve"> che si può ottenere a partire dai 63 anni da parte di coloro che si trovano in condizioni di disagio o svolgono attività considerate gravose (15 categorie). Per accedere all’anticipo gratuito occorre avere un minimo di </w:t>
            </w:r>
            <w:proofErr w:type="gramStart"/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t>30</w:t>
            </w:r>
            <w:proofErr w:type="gramEnd"/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t xml:space="preserve"> anni di </w:t>
            </w:r>
            <w:r w:rsidRPr="00A55E30">
              <w:rPr>
                <w:rFonts w:ascii="Times New Roman" w:eastAsia="Times New Roman" w:hAnsi="Times New Roman" w:cs="Times New Roman"/>
                <w:color w:val="0F0F0F"/>
                <w:lang w:eastAsia="it-IT"/>
              </w:rPr>
              <w:lastRenderedPageBreak/>
              <w:t xml:space="preserve">contributi che salgono a 36 per chi è impiegato in lavori gravosi. </w:t>
            </w:r>
          </w:p>
        </w:tc>
      </w:tr>
    </w:tbl>
    <w:p w14:paraId="1DDD2761" w14:textId="77777777" w:rsidR="00861712" w:rsidRPr="00A55E30" w:rsidRDefault="00861712" w:rsidP="009608C1">
      <w:pPr>
        <w:spacing w:after="450" w:line="480" w:lineRule="auto"/>
        <w:ind w:right="991"/>
        <w:jc w:val="both"/>
        <w:rPr>
          <w:rFonts w:ascii="Times New Roman" w:eastAsia="Times New Roman" w:hAnsi="Times New Roman" w:cs="Times New Roman"/>
          <w:b/>
          <w:color w:val="0F0F0F"/>
          <w:lang w:eastAsia="it-IT"/>
        </w:rPr>
      </w:pPr>
    </w:p>
    <w:p w14:paraId="588FD8C7" w14:textId="77777777" w:rsidR="00501C8E" w:rsidRPr="00A55E30" w:rsidRDefault="00501C8E" w:rsidP="009608C1">
      <w:pPr>
        <w:spacing w:line="480" w:lineRule="auto"/>
        <w:ind w:right="99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01C8E" w:rsidRPr="00A55E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12"/>
    <w:rsid w:val="001705EF"/>
    <w:rsid w:val="001D1D83"/>
    <w:rsid w:val="00233727"/>
    <w:rsid w:val="002721BD"/>
    <w:rsid w:val="0030301A"/>
    <w:rsid w:val="003F7FBD"/>
    <w:rsid w:val="0049777A"/>
    <w:rsid w:val="00501C8E"/>
    <w:rsid w:val="006F1358"/>
    <w:rsid w:val="007E7CAA"/>
    <w:rsid w:val="007F4DF2"/>
    <w:rsid w:val="0082242B"/>
    <w:rsid w:val="00861712"/>
    <w:rsid w:val="00864068"/>
    <w:rsid w:val="009608C1"/>
    <w:rsid w:val="00A55DAE"/>
    <w:rsid w:val="00A55E30"/>
    <w:rsid w:val="00E4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4F4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712"/>
    <w:pPr>
      <w:spacing w:after="160" w:line="259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1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7F4DF2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F4D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712"/>
    <w:pPr>
      <w:spacing w:after="160" w:line="259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1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7F4DF2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F4D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217</Words>
  <Characters>1243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Comegna</dc:creator>
  <cp:lastModifiedBy>Roberto Bagnoli</cp:lastModifiedBy>
  <cp:revision>17</cp:revision>
  <dcterms:created xsi:type="dcterms:W3CDTF">2019-11-15T08:53:00Z</dcterms:created>
  <dcterms:modified xsi:type="dcterms:W3CDTF">2019-11-15T13:50:00Z</dcterms:modified>
</cp:coreProperties>
</file>